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Путеводитель по судебной практике: Поставка товаров.</w:t>
      </w:r>
    </w:p>
    <w:p>
      <w:pPr>
        <w:pStyle w:val="0"/>
        <w:jc w:val="both"/>
      </w:pPr>
      <w:r>
        <w:rPr>
          <w:sz w:val="20"/>
        </w:rPr>
        <w:t xml:space="preserve">Могут ли суды расценить исполнение договора поставки за пределами срока его действия на его условиях как поставку в рамках этого договора</w:t>
      </w:r>
    </w:p>
    <w:p>
      <w:pPr>
        <w:pStyle w:val="0"/>
        <w:jc w:val="both"/>
      </w:pPr>
      <w:r>
        <w:rPr>
          <w:sz w:val="20"/>
        </w:rPr>
        <w:t xml:space="preserve">(КонсультантПлюс, 2025)</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Путеводитель по судебной практике. Поставка товаров | </w:t>
            </w:r>
            <w:r>
              <w:rPr>
                <w:sz w:val="20"/>
                <w:color w:val="392c69"/>
                <w:b w:val="on"/>
              </w:rPr>
              <w:t xml:space="preserve">Актуально на 09.01.2025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Могут ли суды расценить исполнение договора поставки за пределами срока его действия на его условиях как поставку в рамках этого договора</w:t>
      </w:r>
    </w:p>
    <w:p>
      <w:pPr>
        <w:pStyle w:val="0"/>
        <w:spacing w:before="200" w:line-rule="auto"/>
        <w:jc w:val="both"/>
      </w:pPr>
      <w:r>
        <w:rPr>
          <w:sz w:val="20"/>
          <w:b w:val="on"/>
        </w:rPr>
        <w:t xml:space="preserve">Вывод из судебной практики:</w:t>
      </w:r>
      <w:r>
        <w:rPr>
          <w:sz w:val="20"/>
        </w:rPr>
        <w:t xml:space="preserve"> исполнение сторонами договора поставки за пределами срока его действия может быть расценено судом как поставка в рамках данного договора, если исполнение производилось на условиях, указанных в договоре.</w:t>
      </w:r>
    </w:p>
    <w:p>
      <w:pPr>
        <w:pStyle w:val="0"/>
        <w:spacing w:before="200" w:line-rule="auto"/>
        <w:jc w:val="both"/>
      </w:pPr>
      <w:r>
        <w:rPr>
          <w:sz w:val="20"/>
        </w:rPr>
        <w:t xml:space="preserve">Применимые нормы: </w:t>
      </w:r>
      <w:r>
        <w:rPr>
          <w:sz w:val="20"/>
        </w:rPr>
        <w:t xml:space="preserve">ст. ст. 432</w:t>
      </w:r>
      <w:r>
        <w:rPr>
          <w:sz w:val="20"/>
        </w:rPr>
        <w:t xml:space="preserve">, </w:t>
      </w:r>
      <w:r>
        <w:rPr>
          <w:sz w:val="20"/>
        </w:rPr>
        <w:t xml:space="preserve">433</w:t>
      </w:r>
      <w:r>
        <w:rPr>
          <w:sz w:val="20"/>
        </w:rPr>
        <w:t xml:space="preserve">, </w:t>
      </w:r>
      <w:r>
        <w:rPr>
          <w:sz w:val="20"/>
        </w:rPr>
        <w:t xml:space="preserve">435</w:t>
      </w:r>
      <w:r>
        <w:rPr>
          <w:sz w:val="20"/>
        </w:rPr>
        <w:t xml:space="preserve">, </w:t>
      </w:r>
      <w:r>
        <w:rPr>
          <w:sz w:val="20"/>
        </w:rPr>
        <w:t xml:space="preserve">438</w:t>
      </w:r>
      <w:r>
        <w:rPr>
          <w:sz w:val="20"/>
        </w:rPr>
        <w:t xml:space="preserve"> ГК РФ</w:t>
      </w:r>
    </w:p>
    <w:p>
      <w:pPr>
        <w:pStyle w:val="0"/>
        <w:jc w:val="both"/>
      </w:pPr>
      <w:r>
        <w:rPr>
          <w:sz w:val="20"/>
        </w:rPr>
      </w:r>
    </w:p>
    <w:p>
      <w:pPr>
        <w:pStyle w:val="0"/>
        <w:jc w:val="both"/>
      </w:pPr>
      <w:r>
        <w:rPr>
          <w:sz w:val="20"/>
          <w:b w:val="on"/>
        </w:rPr>
        <w:t xml:space="preserve">Судебная практика:</w:t>
      </w:r>
    </w:p>
    <w:p>
      <w:pPr>
        <w:pStyle w:val="0"/>
        <w:jc w:val="both"/>
      </w:pPr>
      <w:r>
        <w:rPr>
          <w:sz w:val="20"/>
        </w:rPr>
      </w:r>
    </w:p>
    <w:p>
      <w:pPr>
        <w:pStyle w:val="0"/>
        <w:jc w:val="both"/>
      </w:pPr>
      <w:r>
        <w:rPr>
          <w:sz w:val="20"/>
        </w:rPr>
        <w:t xml:space="preserve">Постановление</w:t>
      </w:r>
      <w:r>
        <w:rPr>
          <w:sz w:val="20"/>
        </w:rPr>
        <w:t xml:space="preserve"> ФАС Восточно-Сибирского округа от 24.11.2011 по делу N А33-13303/2010</w:t>
      </w:r>
    </w:p>
    <w:p>
      <w:pPr>
        <w:pStyle w:val="0"/>
        <w:spacing w:before="200" w:line-rule="auto"/>
        <w:jc w:val="both"/>
      </w:pPr>
      <w:r>
        <w:rPr>
          <w:sz w:val="20"/>
        </w:rPr>
        <w:t xml:space="preserve">"...В обоснование исковых требований истец ссылается на то, что 11.02.2002 и 30.06.2006 между ООО "Кодинский деревообрабатывающий комбинат" (продавец) и фирмой "Силверлайн Венчурз Лимитед" (покупатель) заключены контракты N КО/СИЛВЕР-11/02/02 и N КО/СИЛВЕР-ЕВРО соответственно, согласно которым продавец поставляет пиломатериалы хвойных пород (далее - товар) в количестве 100 000 куб. м, а покупатель оплачивает за него цену, предусмотренную настоящими контрактами и приложениями к нему. Вывоз товара за границу Российской Федерации осуществляется покупателем.</w:t>
      </w:r>
    </w:p>
    <w:p>
      <w:pPr>
        <w:pStyle w:val="0"/>
        <w:spacing w:before="200" w:line-rule="auto"/>
        <w:jc w:val="both"/>
      </w:pPr>
      <w:r>
        <w:rPr>
          <w:sz w:val="20"/>
        </w:rPr>
        <w:t xml:space="preserve">Ссылаясь на то, что срок действия контракта от 11.02.2002 N КО/СИЛВЕР-11/02/02 истек и что приложения к нему N 1 - 40 являются разовыми сделками, обязательства по поставке товара исполнены ООО "Кодинский деревообрабатывающий комбинат" частично, компания обратилась с иском в суд с требованием о взыскании с ответчика 3 141 427 долларов 93 цента США долга, 293 723 долларов 51 центов США процентов за пользование чужими денежными средствами.</w:t>
      </w:r>
    </w:p>
    <w:p>
      <w:pPr>
        <w:pStyle w:val="0"/>
        <w:spacing w:before="200" w:line-rule="auto"/>
        <w:jc w:val="both"/>
      </w:pPr>
      <w:r>
        <w:rPr>
          <w:sz w:val="20"/>
        </w:rPr>
        <w:t xml:space="preserve">Судами первой и апелляционной инстанций с учетом требований </w:t>
      </w:r>
      <w:r>
        <w:rPr>
          <w:sz w:val="20"/>
        </w:rPr>
        <w:t xml:space="preserve">статей 432</w:t>
      </w:r>
      <w:r>
        <w:rPr>
          <w:sz w:val="20"/>
        </w:rPr>
        <w:t xml:space="preserve">, </w:t>
      </w:r>
      <w:r>
        <w:rPr>
          <w:sz w:val="20"/>
        </w:rPr>
        <w:t xml:space="preserve">433</w:t>
      </w:r>
      <w:r>
        <w:rPr>
          <w:sz w:val="20"/>
        </w:rPr>
        <w:t xml:space="preserve">, </w:t>
      </w:r>
      <w:r>
        <w:rPr>
          <w:sz w:val="20"/>
        </w:rPr>
        <w:t xml:space="preserve">435</w:t>
      </w:r>
      <w:r>
        <w:rPr>
          <w:sz w:val="20"/>
        </w:rPr>
        <w:t xml:space="preserve">, </w:t>
      </w:r>
      <w:r>
        <w:rPr>
          <w:sz w:val="20"/>
        </w:rPr>
        <w:t xml:space="preserve">438</w:t>
      </w:r>
      <w:r>
        <w:rPr>
          <w:sz w:val="20"/>
        </w:rPr>
        <w:t xml:space="preserve"> Гражданского кодекса Российской Федерации установлено, что, несмотря на истечение срока действия контракта от 11.02.2002 N КО/СИЛВЕР-11/02/02, обязательства по нему продолжали действовать, поскольку поставки производились на условиях, согласованных сторонами в указанном контракте, стороны выразили волю на продолжение договорных отношений по нему и на обозначенных в нем условиях посредством совершения фактических действий. Во всех платежных документах указан единый транзитный валютный счет, который стороны согласовали в контракте от 11.02.2002 N КО/СИЛВЕР-11/02/02, основанием платежа везде указан данный контракт, которым определено родовое наименование товара (пиломатериал хвойных пород), общее количество всей совокупности поставок (100 000 руб.м). Наименование, ассортимент, количество, характеристики, стоимость партий товара, условия поставки (Инкотермс-2000, наименование грузополучателя, пункт назначения, требования к качеству товара, к упаковке) согласованы сторонами в приложениях (технических условиях к контракту от 11.02.2002 N КО/СИЛВЕР-11/02/02). Исполнение приложений к контракту от 11.02.2002 N КО/СИЛВЕР-11/02/02 направлено на исполнение условий контракта.</w:t>
      </w:r>
    </w:p>
    <w:p>
      <w:pPr>
        <w:pStyle w:val="0"/>
        <w:spacing w:before="200" w:line-rule="auto"/>
        <w:jc w:val="both"/>
      </w:pPr>
      <w:r>
        <w:rPr>
          <w:sz w:val="20"/>
        </w:rPr>
        <w:t xml:space="preserve">В связи с этим довод истца о том, что приложения N 1 - 40 к контракту от 11.02.2002 N КО/СИЛВЕР-11/02/02 следует считать самостоятельными разовыми сделками купли-продажи, судом кассационной инстанции отклоняется, поскольку противоречит материалам дела и установленным судами по делу обстоятельствам.</w:t>
      </w:r>
    </w:p>
    <w:p>
      <w:pPr>
        <w:pStyle w:val="0"/>
        <w:spacing w:before="200" w:line-rule="auto"/>
        <w:jc w:val="both"/>
      </w:pPr>
      <w:r>
        <w:rPr>
          <w:sz w:val="20"/>
        </w:rPr>
        <w:t xml:space="preserve">Оснований для переоценки доказательств у Федерального арбитражного суда Восточно-Сибирского округа в силу требований </w:t>
      </w:r>
      <w:r>
        <w:rPr>
          <w:sz w:val="20"/>
        </w:rPr>
        <w:t xml:space="preserve">статьи 286</w:t>
      </w:r>
      <w:r>
        <w:rPr>
          <w:sz w:val="20"/>
        </w:rPr>
        <w:t xml:space="preserve"> Арбитражного процессуального кодекса Российской Федерации не имеется..."</w:t>
      </w:r>
    </w:p>
    <w:p>
      <w:pPr>
        <w:pStyle w:val="0"/>
        <w:jc w:val="both"/>
      </w:pPr>
      <w:r>
        <w:rPr>
          <w:sz w:val="20"/>
        </w:rPr>
      </w:r>
    </w:p>
    <w:p>
      <w:pPr>
        <w:pStyle w:val="0"/>
        <w:jc w:val="both"/>
      </w:pPr>
      <w:r>
        <w:rPr>
          <w:sz w:val="20"/>
          <w:b w:val="on"/>
        </w:rPr>
        <w:t xml:space="preserve">Аналогичная судебная практика:</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22" w:name="P22"/>
          <w:bookmarkEnd w:id="22"/>
          <w:p>
            <w:pPr>
              <w:pStyle w:val="0"/>
              <w:jc w:val="both"/>
            </w:pPr>
            <w:r>
              <w:rPr>
                <w:sz w:val="20"/>
                <w:u w:val="single"/>
              </w:rPr>
              <w:t xml:space="preserve">Уральский округ</w:t>
            </w:r>
          </w:p>
          <w:p>
            <w:pPr>
              <w:pStyle w:val="0"/>
              <w:spacing w:before="200" w:line-rule="auto"/>
              <w:jc w:val="both"/>
            </w:pPr>
            <w:r>
              <w:rPr>
                <w:sz w:val="20"/>
              </w:rPr>
              <w:t xml:space="preserve">Постановление</w:t>
            </w:r>
            <w:r>
              <w:rPr>
                <w:sz w:val="20"/>
              </w:rPr>
              <w:t xml:space="preserve"> ФАС Уральского округа от 15.05.2014 N Ф09-2055/14 по делу N А60-25260/2013</w:t>
            </w:r>
          </w:p>
          <w:p>
            <w:pPr>
              <w:pStyle w:val="0"/>
              <w:spacing w:before="200" w:line-rule="auto"/>
              <w:jc w:val="both"/>
            </w:pPr>
            <w:r>
              <w:rPr>
                <w:sz w:val="20"/>
              </w:rPr>
              <w:t xml:space="preserve">"...Как видно из материалов дела, 23.01.2012 между обществом "ЭйСиЭй Хайджин Продактс Раша" как покупателем и обществом "Энергомаш (Екатеринбург) - Уралэлектротяжмаш" (поставщик) заключен договор поставки NSOV-12/003, по условиям которого истец обязался в срок до 12.08.2012 поставить ответчику 2 (два) трансформатора общей стоимостью 48 852 000 руб.</w:t>
            </w:r>
          </w:p>
          <w:p>
            <w:pPr>
              <w:pStyle w:val="0"/>
              <w:spacing w:before="200" w:line-rule="auto"/>
              <w:jc w:val="both"/>
            </w:pPr>
            <w:r>
              <w:rPr>
                <w:sz w:val="20"/>
              </w:rPr>
              <w:t xml:space="preserve">Истец осуществил поставку товара с нарушением срока: первый трансформатор был поставлен 23.11.2012 (просрочка 103 дня), второй с просрочкой - 11.03.2013 (просрочка 210 дней).</w:t>
            </w:r>
          </w:p>
          <w:p>
            <w:pPr>
              <w:pStyle w:val="0"/>
              <w:spacing w:before="200" w:line-rule="auto"/>
              <w:jc w:val="both"/>
            </w:pPr>
            <w:r>
              <w:rPr>
                <w:sz w:val="20"/>
              </w:rPr>
              <w:t xml:space="preserve">Судом установлено, что договором (приложение N 1 к дополнительному соглашению N 2 от 15.05.2012) срок поставки двух трансформаторов установлен не позднее 12.08.2012 с возможностью досрочной поставки.</w:t>
            </w:r>
          </w:p>
          <w:p>
            <w:pPr>
              <w:pStyle w:val="0"/>
              <w:spacing w:before="200" w:line-rule="auto"/>
              <w:jc w:val="both"/>
            </w:pPr>
            <w:r>
              <w:rPr>
                <w:sz w:val="20"/>
              </w:rPr>
              <w:t xml:space="preserve">В пункте 9.9 договора от 23.01.2012 указано, что договор вступает в силу с момента его подписания сторонами и действует до 31.12.2012.</w:t>
            </w:r>
          </w:p>
          <w:p>
            <w:pPr>
              <w:pStyle w:val="0"/>
              <w:spacing w:before="200" w:line-rule="auto"/>
              <w:jc w:val="both"/>
            </w:pPr>
            <w:r>
              <w:rPr>
                <w:sz w:val="20"/>
              </w:rPr>
              <w:t xml:space="preserve">Из материалов дела усматривается, что договор был исполнен истцом, исполнение ответчиком принято. При этом в товаросопроводительных документах истец сослался на договор NSOV-12/003 от 23.01.2012 (товарная накладная N 80178125, счет, счет-фактура и товарно-транспортная накладная).</w:t>
            </w:r>
          </w:p>
          <w:p>
            <w:pPr>
              <w:pStyle w:val="0"/>
              <w:spacing w:before="200" w:line-rule="auto"/>
              <w:jc w:val="both"/>
            </w:pPr>
            <w:r>
              <w:rPr>
                <w:sz w:val="20"/>
              </w:rPr>
              <w:t xml:space="preserve">Оценив указанные обстоятельства, суд пришел к выводу о том, что исполнение сторонами договора поставки за пределами срока его действия является поставкой в рамках данного договора, поскольку исполнение производилось на условиях, указанных в договоре.</w:t>
            </w:r>
          </w:p>
          <w:p>
            <w:pPr>
              <w:pStyle w:val="0"/>
              <w:spacing w:before="200" w:line-rule="auto"/>
              <w:jc w:val="both"/>
            </w:pPr>
            <w:r>
              <w:rPr>
                <w:sz w:val="20"/>
              </w:rPr>
              <w:t xml:space="preserve">Нарушений норм материального или процессуального права, являющихся основанием для отмены судебных </w:t>
            </w:r>
            <w:r>
              <w:rPr>
                <w:sz w:val="20"/>
              </w:rPr>
              <w:t xml:space="preserve">актов</w:t>
            </w:r>
            <w:r>
              <w:rPr>
                <w:sz w:val="20"/>
              </w:rPr>
              <w:t xml:space="preserve"> (</w:t>
            </w:r>
            <w:r>
              <w:rPr>
                <w:sz w:val="20"/>
              </w:rPr>
              <w:t xml:space="preserve">ст. 288</w:t>
            </w:r>
            <w:r>
              <w:rPr>
                <w:sz w:val="20"/>
              </w:rPr>
              <w:t xml:space="preserve"> Арбитражного процессуального кодекса Российской Федерации), судом кассационной инстанции не установлено..."</w:t>
            </w:r>
          </w:p>
        </w:tc>
      </w:tr>
    </w:tbl>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иные спорные ситуации</w:t>
            </w:r>
            <w:r>
              <w:rPr>
                <w:sz w:val="20"/>
              </w:rPr>
              <w:t xml:space="preserve"> по вопросам последствий прекращения срока действия договора для восполнения недопоставки</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Путеводитель по судебной практике: Поставка товаров.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10.01.2025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 Id="rId4" Type="http://schemas.openxmlformats.org/officeDocument/2006/relationships/image" Target="media/image1.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4024.00.51</Application>
  <Company>КонсультантПлюс Версия 4024.00.51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Путеводитель по судебной практике: Поставка товаров.
Могут ли суды расценить исполнение договора поставки за пределами срока его действия на его условиях как поставку в рамках этого договора
(КонсультантПлюс, 2025)</dc:title>
  <dcterms:created xsi:type="dcterms:W3CDTF">2025-01-10T05:56:32Z</dcterms:created>
</cp:coreProperties>
</file>